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B5" w:rsidRDefault="001E2CB5" w:rsidP="008E4E62">
      <w:pPr>
        <w:spacing w:after="192" w:line="270" w:lineRule="atLeast"/>
        <w:jc w:val="center"/>
        <w:outlineLvl w:val="1"/>
        <w:rPr>
          <w:rFonts w:ascii="Georgia" w:eastAsia="Times New Roman" w:hAnsi="Georgia" w:cs="Tahoma"/>
          <w:color w:val="493323"/>
          <w:sz w:val="27"/>
          <w:szCs w:val="27"/>
        </w:rPr>
      </w:pPr>
      <w:r w:rsidRPr="001E2CB5">
        <w:rPr>
          <w:rFonts w:ascii="Georgia" w:eastAsia="Times New Roman" w:hAnsi="Georgia" w:cs="Tahoma"/>
          <w:color w:val="493323"/>
          <w:sz w:val="27"/>
          <w:szCs w:val="27"/>
        </w:rPr>
        <w:t>Graham School of General Studies</w:t>
      </w:r>
    </w:p>
    <w:p w:rsidR="00374854" w:rsidRDefault="00374854" w:rsidP="008E4E62">
      <w:pPr>
        <w:pStyle w:val="NoSpacing"/>
        <w:jc w:val="center"/>
        <w:rPr>
          <w:rStyle w:val="apple-style-span"/>
          <w:rFonts w:ascii="Georgia" w:hAnsi="Georgia"/>
          <w:b/>
          <w:bCs/>
          <w:color w:val="6D6C6C"/>
          <w:sz w:val="27"/>
          <w:szCs w:val="27"/>
        </w:rPr>
      </w:pPr>
      <w:r>
        <w:rPr>
          <w:rStyle w:val="apple-style-span"/>
          <w:rFonts w:ascii="Georgia" w:hAnsi="Georgia"/>
          <w:b/>
          <w:bCs/>
          <w:color w:val="6D6C6C"/>
          <w:sz w:val="27"/>
          <w:szCs w:val="27"/>
        </w:rPr>
        <w:t>The Romantic Piano: The Intimate and the Grandiose</w:t>
      </w:r>
    </w:p>
    <w:p w:rsidR="001E2CB5" w:rsidRPr="008E4E62" w:rsidRDefault="00D522F0" w:rsidP="008E4E62">
      <w:pPr>
        <w:pStyle w:val="NoSpacing"/>
        <w:jc w:val="center"/>
      </w:pPr>
      <w:r>
        <w:t>J</w:t>
      </w:r>
      <w:r w:rsidR="001E2CB5" w:rsidRPr="008E4E62">
        <w:t>ohn Gibbons</w:t>
      </w:r>
    </w:p>
    <w:p w:rsidR="001E2CB5" w:rsidRDefault="001E2CB5" w:rsidP="008E4E62">
      <w:pPr>
        <w:pStyle w:val="NoSpacing"/>
        <w:jc w:val="center"/>
      </w:pPr>
      <w:r w:rsidRPr="008E4E62">
        <w:t>708-393-9729</w:t>
      </w:r>
      <w:r w:rsidR="00D522F0">
        <w:t xml:space="preserve"> - </w:t>
      </w:r>
      <w:hyperlink r:id="rId5" w:history="1">
        <w:r w:rsidR="00CE0BD2" w:rsidRPr="00860263">
          <w:rPr>
            <w:rStyle w:val="Hyperlink"/>
          </w:rPr>
          <w:t>john@holdekunst.com</w:t>
        </w:r>
      </w:hyperlink>
    </w:p>
    <w:p w:rsidR="00CE0BD2" w:rsidRPr="008E4E62" w:rsidRDefault="00CE0BD2" w:rsidP="00CE0BD2">
      <w:pPr>
        <w:pStyle w:val="NoSpacing"/>
        <w:jc w:val="center"/>
      </w:pPr>
    </w:p>
    <w:p w:rsidR="0077175C" w:rsidRPr="0077175C" w:rsidRDefault="0077175C" w:rsidP="00F37B8D">
      <w:r w:rsidRPr="0077175C">
        <w:rPr>
          <w:b/>
        </w:rPr>
        <w:t>Description:</w:t>
      </w:r>
      <w:r>
        <w:t xml:space="preserve"> </w:t>
      </w:r>
      <w:r w:rsidR="00374854" w:rsidRPr="00374854">
        <w:t>This course examines the world of virtuoso piano music. During the Romantic era, the modern piano as we now know it came into being, and with it came a flurry of exceptionally vivid acoustical experimentation, coupled with the intensely personal expression that defined the Romantic era. We will examine the results, from the heady celebration of individual performing virtuosity to the “new” genres we now take for granted, such as Schumann’s intimate music-as-poetry. A survey of the role of nationalism will cover Chopin’s nocturnes and Polish national dances, the evocative works of Dvorak and Janacek, and the cult of Liszt.</w:t>
      </w:r>
    </w:p>
    <w:tbl>
      <w:tblPr>
        <w:tblStyle w:val="TableGrid"/>
        <w:tblW w:w="0" w:type="auto"/>
        <w:tblLook w:val="04A0"/>
      </w:tblPr>
      <w:tblGrid>
        <w:gridCol w:w="743"/>
        <w:gridCol w:w="2790"/>
        <w:gridCol w:w="7200"/>
      </w:tblGrid>
      <w:tr w:rsidR="00B37541" w:rsidTr="00361E04">
        <w:tc>
          <w:tcPr>
            <w:tcW w:w="738" w:type="dxa"/>
          </w:tcPr>
          <w:p w:rsidR="00B37541" w:rsidRPr="00361E04" w:rsidRDefault="00B37541" w:rsidP="00337B64">
            <w:pPr>
              <w:pStyle w:val="NoSpacing"/>
              <w:jc w:val="center"/>
              <w:rPr>
                <w:b/>
              </w:rPr>
            </w:pPr>
            <w:r w:rsidRPr="00361E04">
              <w:rPr>
                <w:b/>
              </w:rPr>
              <w:t>Week</w:t>
            </w:r>
          </w:p>
        </w:tc>
        <w:tc>
          <w:tcPr>
            <w:tcW w:w="2790" w:type="dxa"/>
          </w:tcPr>
          <w:p w:rsidR="00B37541" w:rsidRPr="00361E04" w:rsidRDefault="002245D7" w:rsidP="00337B64">
            <w:pPr>
              <w:pStyle w:val="NoSpacing"/>
              <w:rPr>
                <w:b/>
              </w:rPr>
            </w:pPr>
            <w:r w:rsidRPr="00361E04">
              <w:rPr>
                <w:b/>
              </w:rPr>
              <w:t xml:space="preserve">Biographical and Historical </w:t>
            </w:r>
            <w:r w:rsidR="00AC76D8" w:rsidRPr="00361E04">
              <w:rPr>
                <w:b/>
              </w:rPr>
              <w:t>Themes</w:t>
            </w:r>
          </w:p>
        </w:tc>
        <w:tc>
          <w:tcPr>
            <w:tcW w:w="7200" w:type="dxa"/>
          </w:tcPr>
          <w:p w:rsidR="00B37541" w:rsidRPr="00361E04" w:rsidRDefault="00B37541" w:rsidP="00337B64">
            <w:pPr>
              <w:pStyle w:val="NoSpacing"/>
              <w:rPr>
                <w:b/>
              </w:rPr>
            </w:pPr>
            <w:r w:rsidRPr="00361E04">
              <w:rPr>
                <w:b/>
              </w:rPr>
              <w:t>Featured Works</w:t>
            </w:r>
          </w:p>
        </w:tc>
      </w:tr>
      <w:tr w:rsidR="00B37541" w:rsidTr="00361E04">
        <w:tc>
          <w:tcPr>
            <w:tcW w:w="738" w:type="dxa"/>
          </w:tcPr>
          <w:p w:rsidR="00B37541" w:rsidRDefault="00B37541" w:rsidP="00337B64">
            <w:pPr>
              <w:pStyle w:val="NoSpacing"/>
              <w:jc w:val="center"/>
            </w:pPr>
            <w:r>
              <w:t>1</w:t>
            </w:r>
          </w:p>
        </w:tc>
        <w:tc>
          <w:tcPr>
            <w:tcW w:w="2790" w:type="dxa"/>
          </w:tcPr>
          <w:p w:rsidR="00565A10" w:rsidRDefault="00CF5F4B" w:rsidP="00565A10">
            <w:pPr>
              <w:pStyle w:val="NoSpacing"/>
            </w:pPr>
            <w:r>
              <w:t>Ballade</w:t>
            </w:r>
            <w:r>
              <w:br/>
            </w:r>
          </w:p>
          <w:p w:rsidR="00CF5F4B" w:rsidRDefault="00CF5F4B" w:rsidP="00337B64">
            <w:pPr>
              <w:pStyle w:val="NoSpacing"/>
            </w:pPr>
          </w:p>
        </w:tc>
        <w:tc>
          <w:tcPr>
            <w:tcW w:w="7200" w:type="dxa"/>
          </w:tcPr>
          <w:p w:rsidR="00565A10" w:rsidRDefault="00565A10" w:rsidP="00565A10">
            <w:pPr>
              <w:pStyle w:val="NoSpacing"/>
            </w:pPr>
            <w:r>
              <w:t>Chopin’s 4</w:t>
            </w:r>
            <w:r w:rsidRPr="00CF5F4B">
              <w:rPr>
                <w:vertAlign w:val="superscript"/>
              </w:rPr>
              <w:t>th</w:t>
            </w:r>
            <w:r>
              <w:t xml:space="preserve"> Ballade</w:t>
            </w:r>
          </w:p>
          <w:p w:rsidR="00565A10" w:rsidRDefault="00565A10" w:rsidP="00565A10">
            <w:pPr>
              <w:pStyle w:val="NoSpacing"/>
            </w:pPr>
            <w:r>
              <w:t>Brahms 4 Ballades Op. 10</w:t>
            </w:r>
          </w:p>
          <w:p w:rsidR="00565A10" w:rsidRDefault="00565A10" w:rsidP="00565A10">
            <w:pPr>
              <w:pStyle w:val="NoSpacing"/>
            </w:pPr>
            <w:r>
              <w:t xml:space="preserve">Debussy: Ballade </w:t>
            </w:r>
          </w:p>
          <w:p w:rsidR="00AB0CA9" w:rsidRPr="0000112D" w:rsidRDefault="00565A10" w:rsidP="00565A10">
            <w:pPr>
              <w:pStyle w:val="NoSpacing"/>
            </w:pPr>
            <w:r>
              <w:t>Grieg Ballade Op. 24</w:t>
            </w:r>
          </w:p>
        </w:tc>
      </w:tr>
      <w:tr w:rsidR="00B37541" w:rsidTr="00361E04">
        <w:tc>
          <w:tcPr>
            <w:tcW w:w="738" w:type="dxa"/>
          </w:tcPr>
          <w:p w:rsidR="00B37541" w:rsidRDefault="00B37541" w:rsidP="00337B64">
            <w:pPr>
              <w:pStyle w:val="NoSpacing"/>
              <w:jc w:val="center"/>
            </w:pPr>
            <w:r>
              <w:t>2</w:t>
            </w:r>
          </w:p>
        </w:tc>
        <w:tc>
          <w:tcPr>
            <w:tcW w:w="2790" w:type="dxa"/>
          </w:tcPr>
          <w:p w:rsidR="00B37541" w:rsidRDefault="0000112D" w:rsidP="00337B64">
            <w:pPr>
              <w:pStyle w:val="NoSpacing"/>
            </w:pPr>
            <w:r>
              <w:t>From Classicism to Romanticism</w:t>
            </w:r>
          </w:p>
        </w:tc>
        <w:tc>
          <w:tcPr>
            <w:tcW w:w="7200" w:type="dxa"/>
          </w:tcPr>
          <w:p w:rsidR="00B37541" w:rsidRDefault="0000112D" w:rsidP="00337B64">
            <w:pPr>
              <w:pStyle w:val="NoSpacing"/>
            </w:pPr>
            <w:r>
              <w:t>Schubert Impromptus Op. 90</w:t>
            </w:r>
          </w:p>
          <w:p w:rsidR="0000112D" w:rsidRDefault="0000112D" w:rsidP="00337B64">
            <w:pPr>
              <w:pStyle w:val="NoSpacing"/>
            </w:pPr>
            <w:r>
              <w:t>Hummel Sonatas</w:t>
            </w:r>
          </w:p>
          <w:p w:rsidR="0000112D" w:rsidRDefault="0000112D" w:rsidP="00337B64">
            <w:pPr>
              <w:pStyle w:val="NoSpacing"/>
            </w:pPr>
            <w:r>
              <w:t>Weber Sonatas</w:t>
            </w:r>
          </w:p>
        </w:tc>
      </w:tr>
      <w:tr w:rsidR="00B37541" w:rsidTr="00361E04">
        <w:tc>
          <w:tcPr>
            <w:tcW w:w="738" w:type="dxa"/>
          </w:tcPr>
          <w:p w:rsidR="00B37541" w:rsidRDefault="00B37541" w:rsidP="00337B64">
            <w:pPr>
              <w:pStyle w:val="NoSpacing"/>
              <w:jc w:val="center"/>
            </w:pPr>
            <w:r>
              <w:t>3</w:t>
            </w:r>
          </w:p>
        </w:tc>
        <w:tc>
          <w:tcPr>
            <w:tcW w:w="2790" w:type="dxa"/>
          </w:tcPr>
          <w:p w:rsidR="008770DC" w:rsidRDefault="0000112D" w:rsidP="00E52D6D">
            <w:pPr>
              <w:pStyle w:val="NoSpacing"/>
            </w:pPr>
            <w:r>
              <w:t>Robert and Clara</w:t>
            </w:r>
            <w:r>
              <w:br/>
              <w:t>Felix and Fanny</w:t>
            </w:r>
          </w:p>
        </w:tc>
        <w:tc>
          <w:tcPr>
            <w:tcW w:w="7200" w:type="dxa"/>
          </w:tcPr>
          <w:p w:rsidR="002903AB" w:rsidRDefault="0000112D" w:rsidP="00337B64">
            <w:pPr>
              <w:pStyle w:val="NoSpacing"/>
            </w:pPr>
            <w:r>
              <w:t>Piano music of Rpbert and Clara Schumann</w:t>
            </w:r>
          </w:p>
          <w:p w:rsidR="0000112D" w:rsidRDefault="0000112D" w:rsidP="00337B64">
            <w:pPr>
              <w:pStyle w:val="NoSpacing"/>
            </w:pPr>
            <w:r>
              <w:t>Piano music of Felix Mendelssohn and Fanny Hensel</w:t>
            </w:r>
          </w:p>
        </w:tc>
      </w:tr>
      <w:tr w:rsidR="00B37541" w:rsidTr="00361E04">
        <w:tc>
          <w:tcPr>
            <w:tcW w:w="738" w:type="dxa"/>
          </w:tcPr>
          <w:p w:rsidR="00B37541" w:rsidRDefault="00B37541" w:rsidP="00337B64">
            <w:pPr>
              <w:pStyle w:val="NoSpacing"/>
              <w:jc w:val="center"/>
            </w:pPr>
            <w:r>
              <w:t>4</w:t>
            </w:r>
          </w:p>
        </w:tc>
        <w:tc>
          <w:tcPr>
            <w:tcW w:w="2790" w:type="dxa"/>
          </w:tcPr>
          <w:p w:rsidR="00B37541" w:rsidRDefault="00565A10" w:rsidP="00337B64">
            <w:pPr>
              <w:pStyle w:val="NoSpacing"/>
            </w:pPr>
            <w:r>
              <w:t>The Super-Virtuosi</w:t>
            </w:r>
          </w:p>
        </w:tc>
        <w:tc>
          <w:tcPr>
            <w:tcW w:w="7200" w:type="dxa"/>
          </w:tcPr>
          <w:p w:rsidR="00B37541" w:rsidRDefault="00565A10" w:rsidP="00337B64">
            <w:pPr>
              <w:pStyle w:val="NoSpacing"/>
            </w:pPr>
            <w:r>
              <w:t>Kalkbrenner, Henselt Concertos</w:t>
            </w:r>
          </w:p>
          <w:p w:rsidR="00565A10" w:rsidRDefault="00565A10" w:rsidP="00337B64">
            <w:pPr>
              <w:pStyle w:val="NoSpacing"/>
            </w:pPr>
            <w:r>
              <w:t>Thalberg and Liszt  operatic transcriptions</w:t>
            </w:r>
          </w:p>
        </w:tc>
      </w:tr>
      <w:tr w:rsidR="00B37541" w:rsidTr="00361E04">
        <w:tc>
          <w:tcPr>
            <w:tcW w:w="738" w:type="dxa"/>
          </w:tcPr>
          <w:p w:rsidR="00B37541" w:rsidRDefault="00B37541" w:rsidP="00337B64">
            <w:pPr>
              <w:pStyle w:val="NoSpacing"/>
              <w:jc w:val="center"/>
            </w:pPr>
            <w:r>
              <w:t>5</w:t>
            </w:r>
          </w:p>
        </w:tc>
        <w:tc>
          <w:tcPr>
            <w:tcW w:w="2790" w:type="dxa"/>
          </w:tcPr>
          <w:p w:rsidR="00B37541" w:rsidRDefault="00974DA4" w:rsidP="00D22AF9">
            <w:pPr>
              <w:pStyle w:val="NoSpacing"/>
            </w:pPr>
            <w:r>
              <w:t xml:space="preserve">Years of </w:t>
            </w:r>
            <w:r w:rsidR="00D22AF9">
              <w:t>P</w:t>
            </w:r>
            <w:r>
              <w:t>ilgrimage</w:t>
            </w:r>
          </w:p>
        </w:tc>
        <w:tc>
          <w:tcPr>
            <w:tcW w:w="7200" w:type="dxa"/>
          </w:tcPr>
          <w:p w:rsidR="00B37541" w:rsidRDefault="00974DA4" w:rsidP="00337B64">
            <w:pPr>
              <w:pStyle w:val="NoSpacing"/>
            </w:pPr>
            <w:r>
              <w:t>Liszt: Years of pilgrimage</w:t>
            </w:r>
          </w:p>
        </w:tc>
      </w:tr>
      <w:tr w:rsidR="00B37541" w:rsidTr="00361E04">
        <w:tc>
          <w:tcPr>
            <w:tcW w:w="738" w:type="dxa"/>
          </w:tcPr>
          <w:p w:rsidR="00B37541" w:rsidRDefault="00B37541" w:rsidP="00337B64">
            <w:pPr>
              <w:pStyle w:val="NoSpacing"/>
              <w:jc w:val="center"/>
            </w:pPr>
            <w:r>
              <w:t>6</w:t>
            </w:r>
          </w:p>
        </w:tc>
        <w:tc>
          <w:tcPr>
            <w:tcW w:w="2790" w:type="dxa"/>
          </w:tcPr>
          <w:p w:rsidR="00B37541" w:rsidRDefault="0072082E" w:rsidP="00337B64">
            <w:pPr>
              <w:pStyle w:val="NoSpacing"/>
            </w:pPr>
            <w:r>
              <w:t>Nocturne</w:t>
            </w:r>
          </w:p>
        </w:tc>
        <w:tc>
          <w:tcPr>
            <w:tcW w:w="7200" w:type="dxa"/>
          </w:tcPr>
          <w:p w:rsidR="00227ED4" w:rsidRDefault="0072082E" w:rsidP="00337B64">
            <w:pPr>
              <w:pStyle w:val="NoSpacing"/>
            </w:pPr>
            <w:r>
              <w:t>A survey of the evolution of a style</w:t>
            </w:r>
            <w:r w:rsidR="002413D8">
              <w:t xml:space="preserve">: Selections from </w:t>
            </w:r>
            <w:r w:rsidR="000B29B6">
              <w:t xml:space="preserve">Faure, </w:t>
            </w:r>
            <w:r w:rsidR="002413D8">
              <w:t>Field, Chopin, Schumann, Liszt, Bizet</w:t>
            </w:r>
          </w:p>
        </w:tc>
      </w:tr>
      <w:tr w:rsidR="0072082E" w:rsidTr="00361E04">
        <w:tc>
          <w:tcPr>
            <w:tcW w:w="738" w:type="dxa"/>
          </w:tcPr>
          <w:p w:rsidR="0072082E" w:rsidRDefault="0072082E" w:rsidP="00337B64">
            <w:pPr>
              <w:pStyle w:val="NoSpacing"/>
              <w:jc w:val="center"/>
            </w:pPr>
            <w:r>
              <w:t>7</w:t>
            </w:r>
          </w:p>
        </w:tc>
        <w:tc>
          <w:tcPr>
            <w:tcW w:w="2790" w:type="dxa"/>
          </w:tcPr>
          <w:p w:rsidR="0072082E" w:rsidRDefault="0072082E" w:rsidP="003F6994">
            <w:pPr>
              <w:pStyle w:val="NoSpacing"/>
            </w:pPr>
            <w:r>
              <w:t>Variations</w:t>
            </w:r>
          </w:p>
        </w:tc>
        <w:tc>
          <w:tcPr>
            <w:tcW w:w="7200" w:type="dxa"/>
          </w:tcPr>
          <w:p w:rsidR="0072082E" w:rsidRDefault="00361E04" w:rsidP="003F6994">
            <w:pPr>
              <w:pStyle w:val="NoSpacing"/>
            </w:pPr>
            <w:r>
              <w:t xml:space="preserve">Brahms, </w:t>
            </w:r>
            <w:r w:rsidR="0072082E">
              <w:t>Variations on a theme by Handel; Variations on a theme by Paganini</w:t>
            </w:r>
            <w:r>
              <w:t>;</w:t>
            </w:r>
          </w:p>
          <w:p w:rsidR="0072082E" w:rsidRDefault="0072082E" w:rsidP="003F6994">
            <w:pPr>
              <w:pStyle w:val="NoSpacing"/>
            </w:pPr>
            <w:r>
              <w:t>Rachmaninov, variations on a theme by Corelli</w:t>
            </w:r>
          </w:p>
        </w:tc>
      </w:tr>
      <w:tr w:rsidR="00B37541" w:rsidTr="00361E04">
        <w:tc>
          <w:tcPr>
            <w:tcW w:w="738" w:type="dxa"/>
          </w:tcPr>
          <w:p w:rsidR="00B37541" w:rsidRDefault="00B37541" w:rsidP="00337B64">
            <w:pPr>
              <w:pStyle w:val="NoSpacing"/>
              <w:jc w:val="center"/>
            </w:pPr>
            <w:r>
              <w:t>8</w:t>
            </w:r>
          </w:p>
        </w:tc>
        <w:tc>
          <w:tcPr>
            <w:tcW w:w="2790" w:type="dxa"/>
          </w:tcPr>
          <w:p w:rsidR="00B37541" w:rsidRDefault="0000112D" w:rsidP="00337B64">
            <w:pPr>
              <w:pStyle w:val="NoSpacing"/>
            </w:pPr>
            <w:r>
              <w:t>Lesser-known masterworks of the Russian tradition</w:t>
            </w:r>
          </w:p>
        </w:tc>
        <w:tc>
          <w:tcPr>
            <w:tcW w:w="7200" w:type="dxa"/>
          </w:tcPr>
          <w:p w:rsidR="00B37541" w:rsidRDefault="00565A10" w:rsidP="008D1AF1">
            <w:pPr>
              <w:pStyle w:val="NoSpacing"/>
            </w:pPr>
            <w:r>
              <w:t>Balakirev, Liadov, Tchaikovsky, Rubinstein, Mussorgsky</w:t>
            </w:r>
            <w:r w:rsidR="00DB121B">
              <w:t xml:space="preserve"> </w:t>
            </w:r>
          </w:p>
        </w:tc>
      </w:tr>
    </w:tbl>
    <w:p w:rsidR="00B826A1" w:rsidRDefault="00B826A1" w:rsidP="00337B64">
      <w:pPr>
        <w:pStyle w:val="NoSpacing"/>
      </w:pPr>
    </w:p>
    <w:p w:rsidR="00100315" w:rsidRDefault="001E2CB5" w:rsidP="00100315">
      <w:pPr>
        <w:rPr>
          <w:b/>
        </w:rPr>
      </w:pPr>
      <w:r w:rsidRPr="00100315">
        <w:rPr>
          <w:b/>
        </w:rPr>
        <w:t>Recommended</w:t>
      </w:r>
      <w:r w:rsidR="00EE2404" w:rsidRPr="00100315">
        <w:rPr>
          <w:b/>
        </w:rPr>
        <w:t xml:space="preserve"> Materials</w:t>
      </w:r>
    </w:p>
    <w:p w:rsidR="001C78B6" w:rsidRPr="00361E04" w:rsidRDefault="001C78B6" w:rsidP="00100315">
      <w:r w:rsidRPr="00361E04">
        <w:t xml:space="preserve">Stewart Gordon, </w:t>
      </w:r>
      <w:r w:rsidRPr="00361E04">
        <w:rPr>
          <w:i/>
        </w:rPr>
        <w:t>A History of Keyboard Literature: Music for Piano and its Forerunners</w:t>
      </w:r>
    </w:p>
    <w:p w:rsidR="001C78B6" w:rsidRPr="00361E04" w:rsidRDefault="001C78B6" w:rsidP="00100315">
      <w:r w:rsidRPr="00361E04">
        <w:t>Joseph Horrowitz</w:t>
      </w:r>
      <w:r w:rsidR="007578A7" w:rsidRPr="00361E04">
        <w:t xml:space="preserve"> ed.</w:t>
      </w:r>
      <w:r w:rsidRPr="00361E04">
        <w:t xml:space="preserve">, </w:t>
      </w:r>
      <w:r w:rsidRPr="00361E04">
        <w:rPr>
          <w:i/>
        </w:rPr>
        <w:t>Arrau on Music and Performance</w:t>
      </w:r>
    </w:p>
    <w:p w:rsidR="0068728E" w:rsidRPr="00361E04" w:rsidRDefault="0068728E" w:rsidP="00100315">
      <w:r w:rsidRPr="00361E04">
        <w:t xml:space="preserve">Erik Frederick Jensen, </w:t>
      </w:r>
      <w:r w:rsidRPr="00361E04">
        <w:rPr>
          <w:i/>
        </w:rPr>
        <w:t>Schumann</w:t>
      </w:r>
    </w:p>
    <w:p w:rsidR="001C78B6" w:rsidRPr="00361E04" w:rsidRDefault="001C78B6" w:rsidP="00100315">
      <w:r w:rsidRPr="00361E04">
        <w:t xml:space="preserve">Arthur Loesser, </w:t>
      </w:r>
      <w:r w:rsidRPr="00361E04">
        <w:rPr>
          <w:i/>
        </w:rPr>
        <w:t>Men, Women and Pianos: A Social History</w:t>
      </w:r>
    </w:p>
    <w:p w:rsidR="005F49AD" w:rsidRPr="00361E04" w:rsidRDefault="001C78B6" w:rsidP="00100315">
      <w:r w:rsidRPr="00361E04">
        <w:t xml:space="preserve">Charles Rosen, </w:t>
      </w:r>
      <w:r w:rsidRPr="00361E04">
        <w:rPr>
          <w:i/>
        </w:rPr>
        <w:t>The Romantic Generation</w:t>
      </w:r>
      <w:r w:rsidRPr="00361E04">
        <w:t xml:space="preserve"> (Book with CD)</w:t>
      </w:r>
    </w:p>
    <w:p w:rsidR="007578A7" w:rsidRPr="00361E04" w:rsidRDefault="007578A7" w:rsidP="00100315">
      <w:r w:rsidRPr="00361E04">
        <w:t xml:space="preserve">David Rowland, ed., </w:t>
      </w:r>
      <w:r w:rsidRPr="00361E04">
        <w:rPr>
          <w:i/>
        </w:rPr>
        <w:t>The Cambridge Companion to the Piano</w:t>
      </w:r>
    </w:p>
    <w:p w:rsidR="007578A7" w:rsidRPr="00361E04" w:rsidRDefault="007578A7" w:rsidP="00100315">
      <w:r w:rsidRPr="00361E04">
        <w:t xml:space="preserve">Jim Samson, </w:t>
      </w:r>
      <w:r w:rsidRPr="00361E04">
        <w:rPr>
          <w:i/>
        </w:rPr>
        <w:t>Chopin</w:t>
      </w:r>
      <w:r w:rsidRPr="00361E04">
        <w:t xml:space="preserve"> (Master Musicians Series)</w:t>
      </w:r>
    </w:p>
    <w:p w:rsidR="001C78B6" w:rsidRPr="00361E04" w:rsidRDefault="001C78B6" w:rsidP="00100315">
      <w:r w:rsidRPr="00361E04">
        <w:t xml:space="preserve">Harold C. Schonberg, </w:t>
      </w:r>
      <w:r w:rsidRPr="00361E04">
        <w:rPr>
          <w:i/>
        </w:rPr>
        <w:t>The Great Pianists: From Mozart to Present</w:t>
      </w:r>
    </w:p>
    <w:p w:rsidR="007578A7" w:rsidRPr="00361E04" w:rsidRDefault="007578A7" w:rsidP="00100315">
      <w:r w:rsidRPr="00361E04">
        <w:t xml:space="preserve">Jan Swafford, </w:t>
      </w:r>
      <w:r w:rsidRPr="00361E04">
        <w:rPr>
          <w:i/>
        </w:rPr>
        <w:t>Johannes Brahms: A Biography</w:t>
      </w:r>
    </w:p>
    <w:p w:rsidR="0068728E" w:rsidRPr="00361E04" w:rsidRDefault="0068728E" w:rsidP="00100315">
      <w:r w:rsidRPr="00361E04">
        <w:lastRenderedPageBreak/>
        <w:t xml:space="preserve">John C. Tibbets, ed., </w:t>
      </w:r>
      <w:r w:rsidRPr="00361E04">
        <w:rPr>
          <w:i/>
        </w:rPr>
        <w:t>Schumann: A Chorus of Voices</w:t>
      </w:r>
      <w:r w:rsidRPr="00361E04">
        <w:t xml:space="preserve"> (Book with CD)</w:t>
      </w:r>
    </w:p>
    <w:p w:rsidR="006E27EB" w:rsidRPr="00361E04" w:rsidRDefault="006E27EB" w:rsidP="00100315">
      <w:r w:rsidRPr="00361E04">
        <w:t xml:space="preserve">R. Larry Todd, </w:t>
      </w:r>
      <w:r w:rsidRPr="00361E04">
        <w:rPr>
          <w:i/>
        </w:rPr>
        <w:t>Mendelssohn: A Life in Music</w:t>
      </w:r>
    </w:p>
    <w:p w:rsidR="001C78B6" w:rsidRPr="00361E04" w:rsidRDefault="001C78B6" w:rsidP="00100315">
      <w:r w:rsidRPr="00361E04">
        <w:t xml:space="preserve">R. Larry Todd, </w:t>
      </w:r>
      <w:r w:rsidRPr="00361E04">
        <w:rPr>
          <w:i/>
        </w:rPr>
        <w:t>Nineteenth Century Music</w:t>
      </w:r>
    </w:p>
    <w:p w:rsidR="0068728E" w:rsidRDefault="0068728E" w:rsidP="00100315">
      <w:pPr>
        <w:rPr>
          <w:b/>
        </w:rPr>
      </w:pPr>
    </w:p>
    <w:p w:rsidR="001C78B6" w:rsidRDefault="001C78B6" w:rsidP="00100315">
      <w:pPr>
        <w:rPr>
          <w:b/>
        </w:rPr>
      </w:pPr>
    </w:p>
    <w:p w:rsidR="001C78B6" w:rsidRDefault="001C78B6" w:rsidP="00100315">
      <w:pPr>
        <w:rPr>
          <w:b/>
        </w:rPr>
      </w:pPr>
    </w:p>
    <w:p w:rsidR="001C78B6" w:rsidRDefault="001C78B6" w:rsidP="00100315">
      <w:pPr>
        <w:rPr>
          <w:b/>
        </w:rPr>
      </w:pPr>
    </w:p>
    <w:p w:rsidR="001C78B6" w:rsidRPr="00EE2404" w:rsidRDefault="001C78B6" w:rsidP="00100315"/>
    <w:sectPr w:rsidR="001C78B6" w:rsidRPr="00EE2404" w:rsidSect="00BC3E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72CA"/>
    <w:multiLevelType w:val="multilevel"/>
    <w:tmpl w:val="0E065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B07D7"/>
    <w:multiLevelType w:val="multilevel"/>
    <w:tmpl w:val="0AF6B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1789D"/>
    <w:multiLevelType w:val="hybridMultilevel"/>
    <w:tmpl w:val="DD7ED9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7CE11F07"/>
    <w:multiLevelType w:val="hybridMultilevel"/>
    <w:tmpl w:val="ED9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E2404"/>
    <w:rsid w:val="0000112D"/>
    <w:rsid w:val="0004449D"/>
    <w:rsid w:val="0006662D"/>
    <w:rsid w:val="00094895"/>
    <w:rsid w:val="000B29B6"/>
    <w:rsid w:val="00100315"/>
    <w:rsid w:val="00105C5F"/>
    <w:rsid w:val="001115B2"/>
    <w:rsid w:val="001866DC"/>
    <w:rsid w:val="001C78B6"/>
    <w:rsid w:val="001E2CB5"/>
    <w:rsid w:val="002245D7"/>
    <w:rsid w:val="00227ED4"/>
    <w:rsid w:val="00232A34"/>
    <w:rsid w:val="00232B6D"/>
    <w:rsid w:val="002413D8"/>
    <w:rsid w:val="0025171E"/>
    <w:rsid w:val="002903AB"/>
    <w:rsid w:val="002B06E2"/>
    <w:rsid w:val="00324743"/>
    <w:rsid w:val="00337B64"/>
    <w:rsid w:val="00361E04"/>
    <w:rsid w:val="00374854"/>
    <w:rsid w:val="00490C0C"/>
    <w:rsid w:val="00506459"/>
    <w:rsid w:val="005133F9"/>
    <w:rsid w:val="005606DC"/>
    <w:rsid w:val="00565A10"/>
    <w:rsid w:val="005E207C"/>
    <w:rsid w:val="005F49AD"/>
    <w:rsid w:val="00657999"/>
    <w:rsid w:val="0068728E"/>
    <w:rsid w:val="006C310E"/>
    <w:rsid w:val="006E27EB"/>
    <w:rsid w:val="00717BDC"/>
    <w:rsid w:val="0072082E"/>
    <w:rsid w:val="007578A7"/>
    <w:rsid w:val="0076285D"/>
    <w:rsid w:val="00771277"/>
    <w:rsid w:val="0077175C"/>
    <w:rsid w:val="0082241E"/>
    <w:rsid w:val="00827E31"/>
    <w:rsid w:val="008770DC"/>
    <w:rsid w:val="008B7BA6"/>
    <w:rsid w:val="008D0B92"/>
    <w:rsid w:val="008D1AF1"/>
    <w:rsid w:val="008D4427"/>
    <w:rsid w:val="008D7428"/>
    <w:rsid w:val="008E4E62"/>
    <w:rsid w:val="00945FA2"/>
    <w:rsid w:val="00974DA4"/>
    <w:rsid w:val="009D5EEA"/>
    <w:rsid w:val="00AB0CA9"/>
    <w:rsid w:val="00AC76D8"/>
    <w:rsid w:val="00B20EA3"/>
    <w:rsid w:val="00B24219"/>
    <w:rsid w:val="00B27270"/>
    <w:rsid w:val="00B37541"/>
    <w:rsid w:val="00B77DD1"/>
    <w:rsid w:val="00B826A1"/>
    <w:rsid w:val="00BA57F3"/>
    <w:rsid w:val="00BC3E6C"/>
    <w:rsid w:val="00BF47D8"/>
    <w:rsid w:val="00C04D2D"/>
    <w:rsid w:val="00C0650C"/>
    <w:rsid w:val="00C632C9"/>
    <w:rsid w:val="00C912B4"/>
    <w:rsid w:val="00CC0C78"/>
    <w:rsid w:val="00CE0BD2"/>
    <w:rsid w:val="00CF5F4B"/>
    <w:rsid w:val="00D22AF9"/>
    <w:rsid w:val="00D31269"/>
    <w:rsid w:val="00D522F0"/>
    <w:rsid w:val="00DA3E43"/>
    <w:rsid w:val="00DA70B6"/>
    <w:rsid w:val="00DB121B"/>
    <w:rsid w:val="00E52D6D"/>
    <w:rsid w:val="00E801B7"/>
    <w:rsid w:val="00EE2404"/>
    <w:rsid w:val="00EF73D0"/>
    <w:rsid w:val="00F37B8D"/>
    <w:rsid w:val="00F464D9"/>
    <w:rsid w:val="00F72106"/>
    <w:rsid w:val="00FA2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DC"/>
  </w:style>
  <w:style w:type="paragraph" w:styleId="Heading2">
    <w:name w:val="heading 2"/>
    <w:basedOn w:val="Normal"/>
    <w:link w:val="Heading2Char"/>
    <w:uiPriority w:val="9"/>
    <w:qFormat/>
    <w:rsid w:val="00EE2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24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4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240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E2404"/>
    <w:rPr>
      <w:color w:val="0000FF"/>
      <w:u w:val="single"/>
    </w:rPr>
  </w:style>
  <w:style w:type="paragraph" w:styleId="BalloonText">
    <w:name w:val="Balloon Text"/>
    <w:basedOn w:val="Normal"/>
    <w:link w:val="BalloonTextChar"/>
    <w:uiPriority w:val="99"/>
    <w:semiHidden/>
    <w:unhideWhenUsed/>
    <w:rsid w:val="00EE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04"/>
    <w:rPr>
      <w:rFonts w:ascii="Tahoma" w:hAnsi="Tahoma" w:cs="Tahoma"/>
      <w:sz w:val="16"/>
      <w:szCs w:val="16"/>
    </w:rPr>
  </w:style>
  <w:style w:type="paragraph" w:styleId="NoSpacing">
    <w:name w:val="No Spacing"/>
    <w:uiPriority w:val="1"/>
    <w:qFormat/>
    <w:rsid w:val="00EE2404"/>
    <w:pPr>
      <w:spacing w:after="0" w:line="240" w:lineRule="auto"/>
    </w:pPr>
  </w:style>
  <w:style w:type="paragraph" w:styleId="ListParagraph">
    <w:name w:val="List Paragraph"/>
    <w:basedOn w:val="Normal"/>
    <w:uiPriority w:val="34"/>
    <w:qFormat/>
    <w:rsid w:val="00BA57F3"/>
    <w:pPr>
      <w:ind w:left="720"/>
      <w:contextualSpacing/>
    </w:pPr>
  </w:style>
  <w:style w:type="table" w:styleId="TableGrid">
    <w:name w:val="Table Grid"/>
    <w:basedOn w:val="TableNormal"/>
    <w:uiPriority w:val="59"/>
    <w:rsid w:val="00B3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7175C"/>
  </w:style>
</w:styles>
</file>

<file path=word/webSettings.xml><?xml version="1.0" encoding="utf-8"?>
<w:webSettings xmlns:r="http://schemas.openxmlformats.org/officeDocument/2006/relationships" xmlns:w="http://schemas.openxmlformats.org/wordprocessingml/2006/main">
  <w:divs>
    <w:div w:id="810709348">
      <w:bodyDiv w:val="1"/>
      <w:marLeft w:val="0"/>
      <w:marRight w:val="0"/>
      <w:marTop w:val="0"/>
      <w:marBottom w:val="0"/>
      <w:divBdr>
        <w:top w:val="none" w:sz="0" w:space="0" w:color="auto"/>
        <w:left w:val="none" w:sz="0" w:space="0" w:color="auto"/>
        <w:bottom w:val="none" w:sz="0" w:space="0" w:color="auto"/>
        <w:right w:val="none" w:sz="0" w:space="0" w:color="auto"/>
      </w:divBdr>
      <w:divsChild>
        <w:div w:id="252904022">
          <w:marLeft w:val="0"/>
          <w:marRight w:val="0"/>
          <w:marTop w:val="240"/>
          <w:marBottom w:val="480"/>
          <w:divBdr>
            <w:top w:val="none" w:sz="0" w:space="0" w:color="auto"/>
            <w:left w:val="none" w:sz="0" w:space="0" w:color="auto"/>
            <w:bottom w:val="none" w:sz="0" w:space="0" w:color="auto"/>
            <w:right w:val="none" w:sz="0" w:space="0" w:color="auto"/>
          </w:divBdr>
          <w:divsChild>
            <w:div w:id="574894791">
              <w:marLeft w:val="0"/>
              <w:marRight w:val="0"/>
              <w:marTop w:val="0"/>
              <w:marBottom w:val="0"/>
              <w:divBdr>
                <w:top w:val="none" w:sz="0" w:space="0" w:color="auto"/>
                <w:left w:val="none" w:sz="0" w:space="0" w:color="auto"/>
                <w:bottom w:val="none" w:sz="0" w:space="0" w:color="auto"/>
                <w:right w:val="none" w:sz="0" w:space="0" w:color="auto"/>
              </w:divBdr>
            </w:div>
            <w:div w:id="767893632">
              <w:marLeft w:val="1350"/>
              <w:marRight w:val="0"/>
              <w:marTop w:val="0"/>
              <w:marBottom w:val="225"/>
              <w:divBdr>
                <w:top w:val="none" w:sz="0" w:space="0" w:color="auto"/>
                <w:left w:val="none" w:sz="0" w:space="0" w:color="auto"/>
                <w:bottom w:val="none" w:sz="0" w:space="0" w:color="auto"/>
                <w:right w:val="none" w:sz="0" w:space="0" w:color="auto"/>
              </w:divBdr>
              <w:divsChild>
                <w:div w:id="192311641">
                  <w:marLeft w:val="0"/>
                  <w:marRight w:val="0"/>
                  <w:marTop w:val="0"/>
                  <w:marBottom w:val="0"/>
                  <w:divBdr>
                    <w:top w:val="none" w:sz="0" w:space="0" w:color="auto"/>
                    <w:left w:val="none" w:sz="0" w:space="0" w:color="auto"/>
                    <w:bottom w:val="none" w:sz="0" w:space="0" w:color="auto"/>
                    <w:right w:val="none" w:sz="0" w:space="0" w:color="auto"/>
                  </w:divBdr>
                </w:div>
                <w:div w:id="635916938">
                  <w:marLeft w:val="0"/>
                  <w:marRight w:val="0"/>
                  <w:marTop w:val="0"/>
                  <w:marBottom w:val="225"/>
                  <w:divBdr>
                    <w:top w:val="none" w:sz="0" w:space="0" w:color="auto"/>
                    <w:left w:val="none" w:sz="0" w:space="0" w:color="auto"/>
                    <w:bottom w:val="none" w:sz="0" w:space="0" w:color="auto"/>
                    <w:right w:val="none" w:sz="0" w:space="0" w:color="auto"/>
                  </w:divBdr>
                  <w:divsChild>
                    <w:div w:id="469439704">
                      <w:marLeft w:val="0"/>
                      <w:marRight w:val="0"/>
                      <w:marTop w:val="0"/>
                      <w:marBottom w:val="0"/>
                      <w:divBdr>
                        <w:top w:val="none" w:sz="0" w:space="0" w:color="auto"/>
                        <w:left w:val="none" w:sz="0" w:space="0" w:color="auto"/>
                        <w:bottom w:val="none" w:sz="0" w:space="0" w:color="auto"/>
                        <w:right w:val="none" w:sz="0" w:space="0" w:color="auto"/>
                      </w:divBdr>
                    </w:div>
                  </w:divsChild>
                </w:div>
                <w:div w:id="663051041">
                  <w:marLeft w:val="0"/>
                  <w:marRight w:val="0"/>
                  <w:marTop w:val="0"/>
                  <w:marBottom w:val="0"/>
                  <w:divBdr>
                    <w:top w:val="none" w:sz="0" w:space="0" w:color="auto"/>
                    <w:left w:val="none" w:sz="0" w:space="0" w:color="auto"/>
                    <w:bottom w:val="none" w:sz="0" w:space="0" w:color="auto"/>
                    <w:right w:val="none" w:sz="0" w:space="0" w:color="auto"/>
                  </w:divBdr>
                </w:div>
              </w:divsChild>
            </w:div>
            <w:div w:id="1414159553">
              <w:marLeft w:val="0"/>
              <w:marRight w:val="0"/>
              <w:marTop w:val="0"/>
              <w:marBottom w:val="0"/>
              <w:divBdr>
                <w:top w:val="none" w:sz="0" w:space="0" w:color="auto"/>
                <w:left w:val="none" w:sz="0" w:space="0" w:color="auto"/>
                <w:bottom w:val="none" w:sz="0" w:space="0" w:color="auto"/>
                <w:right w:val="none" w:sz="0" w:space="0" w:color="auto"/>
              </w:divBdr>
            </w:div>
            <w:div w:id="1986006248">
              <w:marLeft w:val="0"/>
              <w:marRight w:val="0"/>
              <w:marTop w:val="0"/>
              <w:marBottom w:val="0"/>
              <w:divBdr>
                <w:top w:val="none" w:sz="0" w:space="0" w:color="auto"/>
                <w:left w:val="none" w:sz="0" w:space="0" w:color="auto"/>
                <w:bottom w:val="none" w:sz="0" w:space="0" w:color="auto"/>
                <w:right w:val="none" w:sz="0" w:space="0" w:color="auto"/>
              </w:divBdr>
            </w:div>
            <w:div w:id="1028987004">
              <w:marLeft w:val="1350"/>
              <w:marRight w:val="0"/>
              <w:marTop w:val="0"/>
              <w:marBottom w:val="225"/>
              <w:divBdr>
                <w:top w:val="none" w:sz="0" w:space="0" w:color="auto"/>
                <w:left w:val="none" w:sz="0" w:space="0" w:color="auto"/>
                <w:bottom w:val="none" w:sz="0" w:space="0" w:color="auto"/>
                <w:right w:val="none" w:sz="0" w:space="0" w:color="auto"/>
              </w:divBdr>
              <w:divsChild>
                <w:div w:id="1005743568">
                  <w:marLeft w:val="0"/>
                  <w:marRight w:val="0"/>
                  <w:marTop w:val="0"/>
                  <w:marBottom w:val="0"/>
                  <w:divBdr>
                    <w:top w:val="none" w:sz="0" w:space="0" w:color="auto"/>
                    <w:left w:val="none" w:sz="0" w:space="0" w:color="auto"/>
                    <w:bottom w:val="none" w:sz="0" w:space="0" w:color="auto"/>
                    <w:right w:val="none" w:sz="0" w:space="0" w:color="auto"/>
                  </w:divBdr>
                </w:div>
                <w:div w:id="560408774">
                  <w:marLeft w:val="0"/>
                  <w:marRight w:val="0"/>
                  <w:marTop w:val="0"/>
                  <w:marBottom w:val="225"/>
                  <w:divBdr>
                    <w:top w:val="none" w:sz="0" w:space="0" w:color="auto"/>
                    <w:left w:val="none" w:sz="0" w:space="0" w:color="auto"/>
                    <w:bottom w:val="none" w:sz="0" w:space="0" w:color="auto"/>
                    <w:right w:val="none" w:sz="0" w:space="0" w:color="auto"/>
                  </w:divBdr>
                  <w:divsChild>
                    <w:div w:id="1731994791">
                      <w:marLeft w:val="0"/>
                      <w:marRight w:val="0"/>
                      <w:marTop w:val="0"/>
                      <w:marBottom w:val="0"/>
                      <w:divBdr>
                        <w:top w:val="none" w:sz="0" w:space="0" w:color="auto"/>
                        <w:left w:val="none" w:sz="0" w:space="0" w:color="auto"/>
                        <w:bottom w:val="none" w:sz="0" w:space="0" w:color="auto"/>
                        <w:right w:val="none" w:sz="0" w:space="0" w:color="auto"/>
                      </w:divBdr>
                    </w:div>
                  </w:divsChild>
                </w:div>
                <w:div w:id="1254972040">
                  <w:marLeft w:val="0"/>
                  <w:marRight w:val="0"/>
                  <w:marTop w:val="0"/>
                  <w:marBottom w:val="0"/>
                  <w:divBdr>
                    <w:top w:val="none" w:sz="0" w:space="0" w:color="auto"/>
                    <w:left w:val="none" w:sz="0" w:space="0" w:color="auto"/>
                    <w:bottom w:val="none" w:sz="0" w:space="0" w:color="auto"/>
                    <w:right w:val="none" w:sz="0" w:space="0" w:color="auto"/>
                  </w:divBdr>
                </w:div>
              </w:divsChild>
            </w:div>
            <w:div w:id="1320385986">
              <w:marLeft w:val="0"/>
              <w:marRight w:val="0"/>
              <w:marTop w:val="0"/>
              <w:marBottom w:val="0"/>
              <w:divBdr>
                <w:top w:val="none" w:sz="0" w:space="0" w:color="auto"/>
                <w:left w:val="none" w:sz="0" w:space="0" w:color="auto"/>
                <w:bottom w:val="none" w:sz="0" w:space="0" w:color="auto"/>
                <w:right w:val="none" w:sz="0" w:space="0" w:color="auto"/>
              </w:divBdr>
            </w:div>
            <w:div w:id="741101399">
              <w:marLeft w:val="0"/>
              <w:marRight w:val="0"/>
              <w:marTop w:val="0"/>
              <w:marBottom w:val="0"/>
              <w:divBdr>
                <w:top w:val="none" w:sz="0" w:space="0" w:color="auto"/>
                <w:left w:val="none" w:sz="0" w:space="0" w:color="auto"/>
                <w:bottom w:val="none" w:sz="0" w:space="0" w:color="auto"/>
                <w:right w:val="none" w:sz="0" w:space="0" w:color="auto"/>
              </w:divBdr>
            </w:div>
            <w:div w:id="1328628575">
              <w:marLeft w:val="1350"/>
              <w:marRight w:val="0"/>
              <w:marTop w:val="0"/>
              <w:marBottom w:val="225"/>
              <w:divBdr>
                <w:top w:val="none" w:sz="0" w:space="0" w:color="auto"/>
                <w:left w:val="none" w:sz="0" w:space="0" w:color="auto"/>
                <w:bottom w:val="none" w:sz="0" w:space="0" w:color="auto"/>
                <w:right w:val="none" w:sz="0" w:space="0" w:color="auto"/>
              </w:divBdr>
              <w:divsChild>
                <w:div w:id="1660036113">
                  <w:marLeft w:val="0"/>
                  <w:marRight w:val="0"/>
                  <w:marTop w:val="0"/>
                  <w:marBottom w:val="0"/>
                  <w:divBdr>
                    <w:top w:val="none" w:sz="0" w:space="0" w:color="auto"/>
                    <w:left w:val="none" w:sz="0" w:space="0" w:color="auto"/>
                    <w:bottom w:val="none" w:sz="0" w:space="0" w:color="auto"/>
                    <w:right w:val="none" w:sz="0" w:space="0" w:color="auto"/>
                  </w:divBdr>
                </w:div>
                <w:div w:id="135807507">
                  <w:marLeft w:val="0"/>
                  <w:marRight w:val="0"/>
                  <w:marTop w:val="0"/>
                  <w:marBottom w:val="225"/>
                  <w:divBdr>
                    <w:top w:val="none" w:sz="0" w:space="0" w:color="auto"/>
                    <w:left w:val="none" w:sz="0" w:space="0" w:color="auto"/>
                    <w:bottom w:val="none" w:sz="0" w:space="0" w:color="auto"/>
                    <w:right w:val="none" w:sz="0" w:space="0" w:color="auto"/>
                  </w:divBdr>
                  <w:divsChild>
                    <w:div w:id="1104425998">
                      <w:marLeft w:val="0"/>
                      <w:marRight w:val="0"/>
                      <w:marTop w:val="0"/>
                      <w:marBottom w:val="0"/>
                      <w:divBdr>
                        <w:top w:val="none" w:sz="0" w:space="0" w:color="auto"/>
                        <w:left w:val="none" w:sz="0" w:space="0" w:color="auto"/>
                        <w:bottom w:val="none" w:sz="0" w:space="0" w:color="auto"/>
                        <w:right w:val="none" w:sz="0" w:space="0" w:color="auto"/>
                      </w:divBdr>
                    </w:div>
                  </w:divsChild>
                </w:div>
                <w:div w:id="1636985685">
                  <w:marLeft w:val="0"/>
                  <w:marRight w:val="0"/>
                  <w:marTop w:val="0"/>
                  <w:marBottom w:val="0"/>
                  <w:divBdr>
                    <w:top w:val="none" w:sz="0" w:space="0" w:color="auto"/>
                    <w:left w:val="none" w:sz="0" w:space="0" w:color="auto"/>
                    <w:bottom w:val="none" w:sz="0" w:space="0" w:color="auto"/>
                    <w:right w:val="none" w:sz="0" w:space="0" w:color="auto"/>
                  </w:divBdr>
                </w:div>
              </w:divsChild>
            </w:div>
            <w:div w:id="622468919">
              <w:marLeft w:val="0"/>
              <w:marRight w:val="0"/>
              <w:marTop w:val="0"/>
              <w:marBottom w:val="0"/>
              <w:divBdr>
                <w:top w:val="none" w:sz="0" w:space="0" w:color="auto"/>
                <w:left w:val="none" w:sz="0" w:space="0" w:color="auto"/>
                <w:bottom w:val="none" w:sz="0" w:space="0" w:color="auto"/>
                <w:right w:val="none" w:sz="0" w:space="0" w:color="auto"/>
              </w:divBdr>
            </w:div>
            <w:div w:id="497040035">
              <w:marLeft w:val="0"/>
              <w:marRight w:val="0"/>
              <w:marTop w:val="0"/>
              <w:marBottom w:val="0"/>
              <w:divBdr>
                <w:top w:val="none" w:sz="0" w:space="0" w:color="auto"/>
                <w:left w:val="none" w:sz="0" w:space="0" w:color="auto"/>
                <w:bottom w:val="none" w:sz="0" w:space="0" w:color="auto"/>
                <w:right w:val="none" w:sz="0" w:space="0" w:color="auto"/>
              </w:divBdr>
            </w:div>
            <w:div w:id="949509616">
              <w:marLeft w:val="1350"/>
              <w:marRight w:val="0"/>
              <w:marTop w:val="0"/>
              <w:marBottom w:val="225"/>
              <w:divBdr>
                <w:top w:val="none" w:sz="0" w:space="0" w:color="auto"/>
                <w:left w:val="none" w:sz="0" w:space="0" w:color="auto"/>
                <w:bottom w:val="none" w:sz="0" w:space="0" w:color="auto"/>
                <w:right w:val="none" w:sz="0" w:space="0" w:color="auto"/>
              </w:divBdr>
              <w:divsChild>
                <w:div w:id="441462992">
                  <w:marLeft w:val="0"/>
                  <w:marRight w:val="0"/>
                  <w:marTop w:val="0"/>
                  <w:marBottom w:val="0"/>
                  <w:divBdr>
                    <w:top w:val="none" w:sz="0" w:space="0" w:color="auto"/>
                    <w:left w:val="none" w:sz="0" w:space="0" w:color="auto"/>
                    <w:bottom w:val="none" w:sz="0" w:space="0" w:color="auto"/>
                    <w:right w:val="none" w:sz="0" w:space="0" w:color="auto"/>
                  </w:divBdr>
                </w:div>
                <w:div w:id="593127151">
                  <w:marLeft w:val="0"/>
                  <w:marRight w:val="0"/>
                  <w:marTop w:val="0"/>
                  <w:marBottom w:val="225"/>
                  <w:divBdr>
                    <w:top w:val="none" w:sz="0" w:space="0" w:color="auto"/>
                    <w:left w:val="none" w:sz="0" w:space="0" w:color="auto"/>
                    <w:bottom w:val="none" w:sz="0" w:space="0" w:color="auto"/>
                    <w:right w:val="none" w:sz="0" w:space="0" w:color="auto"/>
                  </w:divBdr>
                  <w:divsChild>
                    <w:div w:id="777725422">
                      <w:marLeft w:val="0"/>
                      <w:marRight w:val="0"/>
                      <w:marTop w:val="0"/>
                      <w:marBottom w:val="0"/>
                      <w:divBdr>
                        <w:top w:val="none" w:sz="0" w:space="0" w:color="auto"/>
                        <w:left w:val="none" w:sz="0" w:space="0" w:color="auto"/>
                        <w:bottom w:val="none" w:sz="0" w:space="0" w:color="auto"/>
                        <w:right w:val="none" w:sz="0" w:space="0" w:color="auto"/>
                      </w:divBdr>
                    </w:div>
                  </w:divsChild>
                </w:div>
                <w:div w:id="319845869">
                  <w:marLeft w:val="0"/>
                  <w:marRight w:val="0"/>
                  <w:marTop w:val="0"/>
                  <w:marBottom w:val="0"/>
                  <w:divBdr>
                    <w:top w:val="none" w:sz="0" w:space="0" w:color="auto"/>
                    <w:left w:val="none" w:sz="0" w:space="0" w:color="auto"/>
                    <w:bottom w:val="none" w:sz="0" w:space="0" w:color="auto"/>
                    <w:right w:val="none" w:sz="0" w:space="0" w:color="auto"/>
                  </w:divBdr>
                </w:div>
              </w:divsChild>
            </w:div>
            <w:div w:id="1759135071">
              <w:marLeft w:val="0"/>
              <w:marRight w:val="0"/>
              <w:marTop w:val="0"/>
              <w:marBottom w:val="0"/>
              <w:divBdr>
                <w:top w:val="none" w:sz="0" w:space="0" w:color="auto"/>
                <w:left w:val="none" w:sz="0" w:space="0" w:color="auto"/>
                <w:bottom w:val="none" w:sz="0" w:space="0" w:color="auto"/>
                <w:right w:val="none" w:sz="0" w:space="0" w:color="auto"/>
              </w:divBdr>
            </w:div>
            <w:div w:id="1859809130">
              <w:marLeft w:val="0"/>
              <w:marRight w:val="0"/>
              <w:marTop w:val="0"/>
              <w:marBottom w:val="0"/>
              <w:divBdr>
                <w:top w:val="none" w:sz="0" w:space="0" w:color="auto"/>
                <w:left w:val="none" w:sz="0" w:space="0" w:color="auto"/>
                <w:bottom w:val="none" w:sz="0" w:space="0" w:color="auto"/>
                <w:right w:val="none" w:sz="0" w:space="0" w:color="auto"/>
              </w:divBdr>
            </w:div>
            <w:div w:id="759254465">
              <w:marLeft w:val="1350"/>
              <w:marRight w:val="0"/>
              <w:marTop w:val="0"/>
              <w:marBottom w:val="225"/>
              <w:divBdr>
                <w:top w:val="none" w:sz="0" w:space="0" w:color="auto"/>
                <w:left w:val="none" w:sz="0" w:space="0" w:color="auto"/>
                <w:bottom w:val="none" w:sz="0" w:space="0" w:color="auto"/>
                <w:right w:val="none" w:sz="0" w:space="0" w:color="auto"/>
              </w:divBdr>
              <w:divsChild>
                <w:div w:id="1565990058">
                  <w:marLeft w:val="0"/>
                  <w:marRight w:val="0"/>
                  <w:marTop w:val="0"/>
                  <w:marBottom w:val="0"/>
                  <w:divBdr>
                    <w:top w:val="none" w:sz="0" w:space="0" w:color="auto"/>
                    <w:left w:val="none" w:sz="0" w:space="0" w:color="auto"/>
                    <w:bottom w:val="none" w:sz="0" w:space="0" w:color="auto"/>
                    <w:right w:val="none" w:sz="0" w:space="0" w:color="auto"/>
                  </w:divBdr>
                </w:div>
                <w:div w:id="332149534">
                  <w:marLeft w:val="0"/>
                  <w:marRight w:val="0"/>
                  <w:marTop w:val="0"/>
                  <w:marBottom w:val="225"/>
                  <w:divBdr>
                    <w:top w:val="none" w:sz="0" w:space="0" w:color="auto"/>
                    <w:left w:val="none" w:sz="0" w:space="0" w:color="auto"/>
                    <w:bottom w:val="none" w:sz="0" w:space="0" w:color="auto"/>
                    <w:right w:val="none" w:sz="0" w:space="0" w:color="auto"/>
                  </w:divBdr>
                  <w:divsChild>
                    <w:div w:id="792286858">
                      <w:marLeft w:val="0"/>
                      <w:marRight w:val="0"/>
                      <w:marTop w:val="0"/>
                      <w:marBottom w:val="0"/>
                      <w:divBdr>
                        <w:top w:val="none" w:sz="0" w:space="0" w:color="auto"/>
                        <w:left w:val="none" w:sz="0" w:space="0" w:color="auto"/>
                        <w:bottom w:val="none" w:sz="0" w:space="0" w:color="auto"/>
                        <w:right w:val="none" w:sz="0" w:space="0" w:color="auto"/>
                      </w:divBdr>
                    </w:div>
                  </w:divsChild>
                </w:div>
                <w:div w:id="781997957">
                  <w:marLeft w:val="0"/>
                  <w:marRight w:val="0"/>
                  <w:marTop w:val="0"/>
                  <w:marBottom w:val="0"/>
                  <w:divBdr>
                    <w:top w:val="none" w:sz="0" w:space="0" w:color="auto"/>
                    <w:left w:val="none" w:sz="0" w:space="0" w:color="auto"/>
                    <w:bottom w:val="none" w:sz="0" w:space="0" w:color="auto"/>
                    <w:right w:val="none" w:sz="0" w:space="0" w:color="auto"/>
                  </w:divBdr>
                </w:div>
              </w:divsChild>
            </w:div>
            <w:div w:id="379019052">
              <w:marLeft w:val="0"/>
              <w:marRight w:val="0"/>
              <w:marTop w:val="0"/>
              <w:marBottom w:val="0"/>
              <w:divBdr>
                <w:top w:val="none" w:sz="0" w:space="0" w:color="auto"/>
                <w:left w:val="none" w:sz="0" w:space="0" w:color="auto"/>
                <w:bottom w:val="none" w:sz="0" w:space="0" w:color="auto"/>
                <w:right w:val="none" w:sz="0" w:space="0" w:color="auto"/>
              </w:divBdr>
            </w:div>
            <w:div w:id="1306859234">
              <w:marLeft w:val="0"/>
              <w:marRight w:val="0"/>
              <w:marTop w:val="0"/>
              <w:marBottom w:val="0"/>
              <w:divBdr>
                <w:top w:val="none" w:sz="0" w:space="0" w:color="auto"/>
                <w:left w:val="none" w:sz="0" w:space="0" w:color="auto"/>
                <w:bottom w:val="none" w:sz="0" w:space="0" w:color="auto"/>
                <w:right w:val="none" w:sz="0" w:space="0" w:color="auto"/>
              </w:divBdr>
            </w:div>
            <w:div w:id="52587982">
              <w:marLeft w:val="1350"/>
              <w:marRight w:val="0"/>
              <w:marTop w:val="0"/>
              <w:marBottom w:val="225"/>
              <w:divBdr>
                <w:top w:val="none" w:sz="0" w:space="0" w:color="auto"/>
                <w:left w:val="none" w:sz="0" w:space="0" w:color="auto"/>
                <w:bottom w:val="none" w:sz="0" w:space="0" w:color="auto"/>
                <w:right w:val="none" w:sz="0" w:space="0" w:color="auto"/>
              </w:divBdr>
              <w:divsChild>
                <w:div w:id="1596863088">
                  <w:marLeft w:val="0"/>
                  <w:marRight w:val="0"/>
                  <w:marTop w:val="0"/>
                  <w:marBottom w:val="0"/>
                  <w:divBdr>
                    <w:top w:val="none" w:sz="0" w:space="0" w:color="auto"/>
                    <w:left w:val="none" w:sz="0" w:space="0" w:color="auto"/>
                    <w:bottom w:val="none" w:sz="0" w:space="0" w:color="auto"/>
                    <w:right w:val="none" w:sz="0" w:space="0" w:color="auto"/>
                  </w:divBdr>
                </w:div>
                <w:div w:id="1168055378">
                  <w:marLeft w:val="0"/>
                  <w:marRight w:val="0"/>
                  <w:marTop w:val="0"/>
                  <w:marBottom w:val="225"/>
                  <w:divBdr>
                    <w:top w:val="none" w:sz="0" w:space="0" w:color="auto"/>
                    <w:left w:val="none" w:sz="0" w:space="0" w:color="auto"/>
                    <w:bottom w:val="none" w:sz="0" w:space="0" w:color="auto"/>
                    <w:right w:val="none" w:sz="0" w:space="0" w:color="auto"/>
                  </w:divBdr>
                  <w:divsChild>
                    <w:div w:id="247278540">
                      <w:marLeft w:val="0"/>
                      <w:marRight w:val="0"/>
                      <w:marTop w:val="0"/>
                      <w:marBottom w:val="0"/>
                      <w:divBdr>
                        <w:top w:val="none" w:sz="0" w:space="0" w:color="auto"/>
                        <w:left w:val="none" w:sz="0" w:space="0" w:color="auto"/>
                        <w:bottom w:val="none" w:sz="0" w:space="0" w:color="auto"/>
                        <w:right w:val="none" w:sz="0" w:space="0" w:color="auto"/>
                      </w:divBdr>
                    </w:div>
                  </w:divsChild>
                </w:div>
                <w:div w:id="19611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3173">
      <w:bodyDiv w:val="1"/>
      <w:marLeft w:val="0"/>
      <w:marRight w:val="0"/>
      <w:marTop w:val="0"/>
      <w:marBottom w:val="0"/>
      <w:divBdr>
        <w:top w:val="none" w:sz="0" w:space="0" w:color="auto"/>
        <w:left w:val="none" w:sz="0" w:space="0" w:color="auto"/>
        <w:bottom w:val="none" w:sz="0" w:space="0" w:color="auto"/>
        <w:right w:val="none" w:sz="0" w:space="0" w:color="auto"/>
      </w:divBdr>
      <w:divsChild>
        <w:div w:id="1460613365">
          <w:marLeft w:val="1350"/>
          <w:marRight w:val="0"/>
          <w:marTop w:val="0"/>
          <w:marBottom w:val="225"/>
          <w:divBdr>
            <w:top w:val="none" w:sz="0" w:space="0" w:color="auto"/>
            <w:left w:val="none" w:sz="0" w:space="0" w:color="auto"/>
            <w:bottom w:val="none" w:sz="0" w:space="0" w:color="auto"/>
            <w:right w:val="none" w:sz="0" w:space="0" w:color="auto"/>
          </w:divBdr>
          <w:divsChild>
            <w:div w:id="1727297806">
              <w:marLeft w:val="0"/>
              <w:marRight w:val="0"/>
              <w:marTop w:val="0"/>
              <w:marBottom w:val="0"/>
              <w:divBdr>
                <w:top w:val="none" w:sz="0" w:space="0" w:color="auto"/>
                <w:left w:val="none" w:sz="0" w:space="0" w:color="auto"/>
                <w:bottom w:val="none" w:sz="0" w:space="0" w:color="auto"/>
                <w:right w:val="none" w:sz="0" w:space="0" w:color="auto"/>
              </w:divBdr>
            </w:div>
            <w:div w:id="195000818">
              <w:marLeft w:val="0"/>
              <w:marRight w:val="0"/>
              <w:marTop w:val="0"/>
              <w:marBottom w:val="225"/>
              <w:divBdr>
                <w:top w:val="none" w:sz="0" w:space="0" w:color="auto"/>
                <w:left w:val="none" w:sz="0" w:space="0" w:color="auto"/>
                <w:bottom w:val="none" w:sz="0" w:space="0" w:color="auto"/>
                <w:right w:val="none" w:sz="0" w:space="0" w:color="auto"/>
              </w:divBdr>
              <w:divsChild>
                <w:div w:id="1233853502">
                  <w:marLeft w:val="0"/>
                  <w:marRight w:val="0"/>
                  <w:marTop w:val="0"/>
                  <w:marBottom w:val="0"/>
                  <w:divBdr>
                    <w:top w:val="none" w:sz="0" w:space="0" w:color="auto"/>
                    <w:left w:val="none" w:sz="0" w:space="0" w:color="auto"/>
                    <w:bottom w:val="none" w:sz="0" w:space="0" w:color="auto"/>
                    <w:right w:val="none" w:sz="0" w:space="0" w:color="auto"/>
                  </w:divBdr>
                </w:div>
              </w:divsChild>
            </w:div>
            <w:div w:id="1478689047">
              <w:marLeft w:val="0"/>
              <w:marRight w:val="0"/>
              <w:marTop w:val="0"/>
              <w:marBottom w:val="0"/>
              <w:divBdr>
                <w:top w:val="none" w:sz="0" w:space="0" w:color="auto"/>
                <w:left w:val="none" w:sz="0" w:space="0" w:color="auto"/>
                <w:bottom w:val="none" w:sz="0" w:space="0" w:color="auto"/>
                <w:right w:val="none" w:sz="0" w:space="0" w:color="auto"/>
              </w:divBdr>
            </w:div>
          </w:divsChild>
        </w:div>
        <w:div w:id="1055198244">
          <w:marLeft w:val="0"/>
          <w:marRight w:val="0"/>
          <w:marTop w:val="0"/>
          <w:marBottom w:val="0"/>
          <w:divBdr>
            <w:top w:val="none" w:sz="0" w:space="0" w:color="auto"/>
            <w:left w:val="none" w:sz="0" w:space="0" w:color="auto"/>
            <w:bottom w:val="none" w:sz="0" w:space="0" w:color="auto"/>
            <w:right w:val="none" w:sz="0" w:space="0" w:color="auto"/>
          </w:divBdr>
        </w:div>
        <w:div w:id="1241796165">
          <w:marLeft w:val="0"/>
          <w:marRight w:val="0"/>
          <w:marTop w:val="0"/>
          <w:marBottom w:val="0"/>
          <w:divBdr>
            <w:top w:val="none" w:sz="0" w:space="0" w:color="auto"/>
            <w:left w:val="none" w:sz="0" w:space="0" w:color="auto"/>
            <w:bottom w:val="none" w:sz="0" w:space="0" w:color="auto"/>
            <w:right w:val="none" w:sz="0" w:space="0" w:color="auto"/>
          </w:divBdr>
        </w:div>
        <w:div w:id="493030157">
          <w:marLeft w:val="1350"/>
          <w:marRight w:val="0"/>
          <w:marTop w:val="0"/>
          <w:marBottom w:val="225"/>
          <w:divBdr>
            <w:top w:val="none" w:sz="0" w:space="0" w:color="auto"/>
            <w:left w:val="none" w:sz="0" w:space="0" w:color="auto"/>
            <w:bottom w:val="none" w:sz="0" w:space="0" w:color="auto"/>
            <w:right w:val="none" w:sz="0" w:space="0" w:color="auto"/>
          </w:divBdr>
          <w:divsChild>
            <w:div w:id="1238325538">
              <w:marLeft w:val="0"/>
              <w:marRight w:val="0"/>
              <w:marTop w:val="0"/>
              <w:marBottom w:val="0"/>
              <w:divBdr>
                <w:top w:val="none" w:sz="0" w:space="0" w:color="auto"/>
                <w:left w:val="none" w:sz="0" w:space="0" w:color="auto"/>
                <w:bottom w:val="none" w:sz="0" w:space="0" w:color="auto"/>
                <w:right w:val="none" w:sz="0" w:space="0" w:color="auto"/>
              </w:divBdr>
            </w:div>
            <w:div w:id="335499086">
              <w:marLeft w:val="0"/>
              <w:marRight w:val="0"/>
              <w:marTop w:val="0"/>
              <w:marBottom w:val="225"/>
              <w:divBdr>
                <w:top w:val="none" w:sz="0" w:space="0" w:color="auto"/>
                <w:left w:val="none" w:sz="0" w:space="0" w:color="auto"/>
                <w:bottom w:val="none" w:sz="0" w:space="0" w:color="auto"/>
                <w:right w:val="none" w:sz="0" w:space="0" w:color="auto"/>
              </w:divBdr>
              <w:divsChild>
                <w:div w:id="252053552">
                  <w:marLeft w:val="0"/>
                  <w:marRight w:val="0"/>
                  <w:marTop w:val="0"/>
                  <w:marBottom w:val="0"/>
                  <w:divBdr>
                    <w:top w:val="none" w:sz="0" w:space="0" w:color="auto"/>
                    <w:left w:val="none" w:sz="0" w:space="0" w:color="auto"/>
                    <w:bottom w:val="none" w:sz="0" w:space="0" w:color="auto"/>
                    <w:right w:val="none" w:sz="0" w:space="0" w:color="auto"/>
                  </w:divBdr>
                </w:div>
              </w:divsChild>
            </w:div>
            <w:div w:id="85150626">
              <w:marLeft w:val="0"/>
              <w:marRight w:val="0"/>
              <w:marTop w:val="0"/>
              <w:marBottom w:val="0"/>
              <w:divBdr>
                <w:top w:val="none" w:sz="0" w:space="0" w:color="auto"/>
                <w:left w:val="none" w:sz="0" w:space="0" w:color="auto"/>
                <w:bottom w:val="none" w:sz="0" w:space="0" w:color="auto"/>
                <w:right w:val="none" w:sz="0" w:space="0" w:color="auto"/>
              </w:divBdr>
            </w:div>
          </w:divsChild>
        </w:div>
        <w:div w:id="2034990876">
          <w:marLeft w:val="0"/>
          <w:marRight w:val="0"/>
          <w:marTop w:val="0"/>
          <w:marBottom w:val="0"/>
          <w:divBdr>
            <w:top w:val="none" w:sz="0" w:space="0" w:color="auto"/>
            <w:left w:val="none" w:sz="0" w:space="0" w:color="auto"/>
            <w:bottom w:val="none" w:sz="0" w:space="0" w:color="auto"/>
            <w:right w:val="none" w:sz="0" w:space="0" w:color="auto"/>
          </w:divBdr>
        </w:div>
        <w:div w:id="321127646">
          <w:marLeft w:val="0"/>
          <w:marRight w:val="0"/>
          <w:marTop w:val="0"/>
          <w:marBottom w:val="0"/>
          <w:divBdr>
            <w:top w:val="none" w:sz="0" w:space="0" w:color="auto"/>
            <w:left w:val="none" w:sz="0" w:space="0" w:color="auto"/>
            <w:bottom w:val="none" w:sz="0" w:space="0" w:color="auto"/>
            <w:right w:val="none" w:sz="0" w:space="0" w:color="auto"/>
          </w:divBdr>
        </w:div>
        <w:div w:id="195048962">
          <w:marLeft w:val="1350"/>
          <w:marRight w:val="0"/>
          <w:marTop w:val="0"/>
          <w:marBottom w:val="225"/>
          <w:divBdr>
            <w:top w:val="none" w:sz="0" w:space="0" w:color="auto"/>
            <w:left w:val="none" w:sz="0" w:space="0" w:color="auto"/>
            <w:bottom w:val="none" w:sz="0" w:space="0" w:color="auto"/>
            <w:right w:val="none" w:sz="0" w:space="0" w:color="auto"/>
          </w:divBdr>
          <w:divsChild>
            <w:div w:id="827019708">
              <w:marLeft w:val="0"/>
              <w:marRight w:val="0"/>
              <w:marTop w:val="0"/>
              <w:marBottom w:val="0"/>
              <w:divBdr>
                <w:top w:val="none" w:sz="0" w:space="0" w:color="auto"/>
                <w:left w:val="none" w:sz="0" w:space="0" w:color="auto"/>
                <w:bottom w:val="none" w:sz="0" w:space="0" w:color="auto"/>
                <w:right w:val="none" w:sz="0" w:space="0" w:color="auto"/>
              </w:divBdr>
            </w:div>
            <w:div w:id="1641225544">
              <w:marLeft w:val="0"/>
              <w:marRight w:val="0"/>
              <w:marTop w:val="0"/>
              <w:marBottom w:val="225"/>
              <w:divBdr>
                <w:top w:val="none" w:sz="0" w:space="0" w:color="auto"/>
                <w:left w:val="none" w:sz="0" w:space="0" w:color="auto"/>
                <w:bottom w:val="none" w:sz="0" w:space="0" w:color="auto"/>
                <w:right w:val="none" w:sz="0" w:space="0" w:color="auto"/>
              </w:divBdr>
              <w:divsChild>
                <w:div w:id="752970895">
                  <w:marLeft w:val="0"/>
                  <w:marRight w:val="0"/>
                  <w:marTop w:val="0"/>
                  <w:marBottom w:val="0"/>
                  <w:divBdr>
                    <w:top w:val="none" w:sz="0" w:space="0" w:color="auto"/>
                    <w:left w:val="none" w:sz="0" w:space="0" w:color="auto"/>
                    <w:bottom w:val="none" w:sz="0" w:space="0" w:color="auto"/>
                    <w:right w:val="none" w:sz="0" w:space="0" w:color="auto"/>
                  </w:divBdr>
                </w:div>
              </w:divsChild>
            </w:div>
            <w:div w:id="17738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holdekun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24</cp:revision>
  <dcterms:created xsi:type="dcterms:W3CDTF">2011-06-04T13:30:00Z</dcterms:created>
  <dcterms:modified xsi:type="dcterms:W3CDTF">2011-06-05T02:02:00Z</dcterms:modified>
</cp:coreProperties>
</file>